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22A" w:rsidRDefault="0065713E" w:rsidP="0065713E">
      <w:pPr>
        <w:spacing w:after="0" w:line="240" w:lineRule="auto"/>
        <w:ind w:left="-284"/>
        <w:jc w:val="both"/>
      </w:pPr>
      <w:bookmarkStart w:id="0" w:name="_GoBack"/>
      <w:bookmarkEnd w:id="0"/>
      <w:r w:rsidRPr="0065713E">
        <w:rPr>
          <w:b/>
          <w:color w:val="3333CC"/>
        </w:rPr>
        <w:t>EXPLICATION</w:t>
      </w:r>
      <w:r w:rsidR="00455E73">
        <w:t> :</w:t>
      </w:r>
      <w:r w:rsidR="0036722A">
        <w:t xml:space="preserve"> </w:t>
      </w:r>
    </w:p>
    <w:p w:rsidR="0065713E" w:rsidRDefault="0065713E" w:rsidP="0065713E">
      <w:pPr>
        <w:spacing w:after="0" w:line="240" w:lineRule="auto"/>
        <w:ind w:left="-284"/>
        <w:jc w:val="both"/>
      </w:pPr>
      <w:r>
        <w:t xml:space="preserve">Le tube PAXgene© Blood RNA contient un additif qui d’une part réduit la dégradation de l’ARN in vitro et d’autre part limite la production artéfactuelle d’ARN observé in vitro. </w:t>
      </w:r>
      <w:r w:rsidR="00207E8D">
        <w:t>Cela permet de respecter le profil de transcription in vivo.</w:t>
      </w:r>
    </w:p>
    <w:p w:rsidR="0065713E" w:rsidRDefault="0065713E" w:rsidP="0065713E">
      <w:pPr>
        <w:spacing w:after="0" w:line="240" w:lineRule="auto"/>
        <w:ind w:left="-284"/>
        <w:jc w:val="both"/>
      </w:pPr>
      <w:r>
        <w:t xml:space="preserve">Le PAXgene© Blood RNA Kit est conçu pour la purification de l’ARN intracellulaire du sang humain total avec des comptes de leucocytes inférieur à 11G/L. </w:t>
      </w:r>
    </w:p>
    <w:p w:rsidR="0065713E" w:rsidRDefault="00207E8D" w:rsidP="0065713E">
      <w:pPr>
        <w:spacing w:after="0" w:line="240" w:lineRule="auto"/>
        <w:ind w:left="-284"/>
        <w:jc w:val="both"/>
      </w:pPr>
      <w:r>
        <w:t>Conserver les tubes PAXgene©</w:t>
      </w:r>
      <w:r w:rsidR="0065713E">
        <w:t xml:space="preserve"> Blood RNA non utilisés à une température ambiante. </w:t>
      </w:r>
    </w:p>
    <w:p w:rsidR="0065713E" w:rsidRDefault="0065713E" w:rsidP="0065713E">
      <w:pPr>
        <w:spacing w:after="0" w:line="240" w:lineRule="auto"/>
        <w:ind w:left="-284"/>
        <w:jc w:val="both"/>
      </w:pPr>
      <w:r>
        <w:t>Un remplissage</w:t>
      </w:r>
      <w:r w:rsidR="00207E8D">
        <w:t xml:space="preserve"> insuffisant des tubes PAXgene©</w:t>
      </w:r>
      <w:r>
        <w:t xml:space="preserve"> Blood RNA entraînerait un ratio sang/additif incorrect, susceptible de fausser les résultats d’analyse ou de nuire aux performances du produit. Il est donc important de bien suivre la procédure de prélèvement.</w:t>
      </w:r>
    </w:p>
    <w:p w:rsidR="00F04F43" w:rsidRDefault="00EF33E2" w:rsidP="00F04F43">
      <w:pPr>
        <w:spacing w:after="0" w:line="240" w:lineRule="auto"/>
        <w:ind w:left="-284"/>
        <w:jc w:val="both"/>
      </w:pPr>
      <w:r>
        <w:t>A votre demande, l</w:t>
      </w:r>
      <w:r w:rsidR="00F04F43">
        <w:t>e tube PAXgene© Blood destiné à une analyse réalisée au sein de notre laboratoire peut vous être transmis.</w:t>
      </w:r>
    </w:p>
    <w:p w:rsidR="0065713E" w:rsidRPr="0036722A" w:rsidRDefault="0065713E" w:rsidP="0065713E">
      <w:pPr>
        <w:spacing w:after="0" w:line="240" w:lineRule="auto"/>
        <w:ind w:left="-284"/>
        <w:jc w:val="both"/>
        <w:rPr>
          <w:b/>
          <w:color w:val="3333CC"/>
          <w:sz w:val="16"/>
          <w:szCs w:val="16"/>
        </w:rPr>
      </w:pPr>
    </w:p>
    <w:p w:rsidR="0036722A" w:rsidRDefault="00455E73" w:rsidP="0065713E">
      <w:pPr>
        <w:spacing w:after="0" w:line="240" w:lineRule="auto"/>
        <w:ind w:left="-284"/>
        <w:jc w:val="both"/>
      </w:pPr>
      <w:r w:rsidRPr="00455E73">
        <w:rPr>
          <w:b/>
          <w:color w:val="3333CC"/>
        </w:rPr>
        <w:t>PROCÉDURE DE PRÉLÈVEMENT SANGUIN </w:t>
      </w:r>
      <w:r>
        <w:t xml:space="preserve">: </w:t>
      </w:r>
    </w:p>
    <w:p w:rsidR="0065713E" w:rsidRDefault="00455E73" w:rsidP="0065713E">
      <w:pPr>
        <w:spacing w:after="0" w:line="240" w:lineRule="auto"/>
        <w:ind w:left="-284"/>
        <w:jc w:val="both"/>
      </w:pPr>
      <w:r>
        <w:t>S’assurer que le tube PAXgene© Blood RNA est à température ambiante (18 à 25°C) et qu’il est correctement étiqueté avec l’identification du patient avant de l’utiliser. Si le tube PAXgene© est le seul à être prélevé, collecter au préalable du sang dans un « tube de purge » avant de collecter du sang dans le tube PAXgene© afin de pouvoir amorcer le volume intérieur du dispositif de prélèvement sanguin utilisé pour la phlébotomie.</w:t>
      </w:r>
    </w:p>
    <w:p w:rsidR="00455E73" w:rsidRDefault="00455E73" w:rsidP="0065713E">
      <w:pPr>
        <w:spacing w:after="0" w:line="240" w:lineRule="auto"/>
        <w:ind w:left="-284"/>
        <w:jc w:val="both"/>
      </w:pPr>
      <w:r>
        <w:rPr>
          <w:noProof/>
          <w:lang w:eastAsia="fr-FR"/>
        </w:rPr>
        <w:drawing>
          <wp:inline distT="0" distB="0" distL="0" distR="0" wp14:anchorId="1C07C327" wp14:editId="551C45D7">
            <wp:extent cx="6211570" cy="20574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11570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0094" w:rsidRDefault="00137D9A" w:rsidP="0065713E">
      <w:pPr>
        <w:spacing w:after="0" w:line="240" w:lineRule="auto"/>
        <w:ind w:left="-284"/>
        <w:jc w:val="both"/>
      </w:pPr>
      <w:r>
        <w:t xml:space="preserve">A l’aide d’un dispositif de prélèvement sanguin et d’un corps de prélèvement, prélever le sang dans le tube PAXgene© en utilisant les procédures de prélèvement sanguin standard par ponction veineuse recommandées par votre établissement. Les techniques ci-dessous doivent être utilisées pour empêcher le risque de reflux : </w:t>
      </w:r>
    </w:p>
    <w:p w:rsidR="00AA0094" w:rsidRPr="00F04F43" w:rsidRDefault="00137D9A" w:rsidP="0065713E">
      <w:pPr>
        <w:spacing w:after="0" w:line="240" w:lineRule="auto"/>
        <w:ind w:left="-284"/>
        <w:jc w:val="both"/>
        <w:rPr>
          <w:b/>
        </w:rPr>
      </w:pPr>
      <w:r w:rsidRPr="00F04F43">
        <w:rPr>
          <w:b/>
        </w:rPr>
        <w:t xml:space="preserve">&gt; Positionner le bras du donneur vers le bas </w:t>
      </w:r>
    </w:p>
    <w:p w:rsidR="00AA0094" w:rsidRPr="00F04F43" w:rsidRDefault="00137D9A" w:rsidP="0065713E">
      <w:pPr>
        <w:spacing w:after="0" w:line="240" w:lineRule="auto"/>
        <w:ind w:left="-284"/>
        <w:jc w:val="both"/>
        <w:rPr>
          <w:b/>
        </w:rPr>
      </w:pPr>
      <w:r w:rsidRPr="00F04F43">
        <w:rPr>
          <w:b/>
        </w:rPr>
        <w:t xml:space="preserve">&gt; Maintenir le tube à la verticale, </w:t>
      </w:r>
      <w:r w:rsidR="006259E9" w:rsidRPr="00F04F43">
        <w:rPr>
          <w:b/>
        </w:rPr>
        <w:t>au-dessous</w:t>
      </w:r>
      <w:r w:rsidRPr="00F04F43">
        <w:rPr>
          <w:b/>
        </w:rPr>
        <w:t xml:space="preserve"> du bras du donneur pendant le prélèvement </w:t>
      </w:r>
    </w:p>
    <w:p w:rsidR="00AA0094" w:rsidRPr="00F04F43" w:rsidRDefault="006259E9" w:rsidP="0065713E">
      <w:pPr>
        <w:spacing w:after="0" w:line="240" w:lineRule="auto"/>
        <w:ind w:left="-284"/>
        <w:jc w:val="both"/>
        <w:rPr>
          <w:b/>
        </w:rPr>
      </w:pPr>
      <w:r w:rsidRPr="00F04F43">
        <w:rPr>
          <w:b/>
        </w:rPr>
        <w:t>&gt; Desserrer le garrot</w:t>
      </w:r>
      <w:r w:rsidR="00137D9A" w:rsidRPr="00F04F43">
        <w:rPr>
          <w:b/>
        </w:rPr>
        <w:t xml:space="preserve"> dès que le sang commence à s’écouler dans le tube </w:t>
      </w:r>
    </w:p>
    <w:p w:rsidR="00AA0094" w:rsidRPr="00F04F43" w:rsidRDefault="00137D9A" w:rsidP="0065713E">
      <w:pPr>
        <w:spacing w:after="0" w:line="240" w:lineRule="auto"/>
        <w:ind w:left="-284"/>
        <w:jc w:val="both"/>
        <w:rPr>
          <w:b/>
        </w:rPr>
      </w:pPr>
      <w:r w:rsidRPr="00F04F43">
        <w:rPr>
          <w:b/>
        </w:rPr>
        <w:t xml:space="preserve">&gt; S’assurer que les additifs ne touchent pas le bouchon ou l’extrémité de l’aiguille pendant le prélèvement. </w:t>
      </w:r>
    </w:p>
    <w:p w:rsidR="008577F4" w:rsidRDefault="008577F4" w:rsidP="0065713E">
      <w:pPr>
        <w:spacing w:after="0" w:line="240" w:lineRule="auto"/>
        <w:ind w:left="-284"/>
        <w:jc w:val="both"/>
      </w:pPr>
      <w:r w:rsidRPr="00F04F43">
        <w:rPr>
          <w:b/>
        </w:rPr>
        <w:t>&gt; Attendre au moins 10 secondes afin d’obtenir un prélèvement complet.</w:t>
      </w:r>
      <w:r>
        <w:t xml:space="preserve"> S’assurer que le sang a cessé de s’écouler dans le tube avant de retirer ce dernier du corps de prélèvement. Le tube PAXgene© est destiné à prélever 2,5 mL de sang dans le tube.</w:t>
      </w:r>
    </w:p>
    <w:p w:rsidR="00455E73" w:rsidRDefault="00137D9A" w:rsidP="0065713E">
      <w:pPr>
        <w:spacing w:after="0" w:line="240" w:lineRule="auto"/>
        <w:ind w:left="-284"/>
        <w:jc w:val="both"/>
      </w:pPr>
      <w:r>
        <w:t>Une fois le prélèvement effectué, inverser doucement le tube PAXgene</w:t>
      </w:r>
      <w:r w:rsidR="008577F4">
        <w:t>©</w:t>
      </w:r>
      <w:r>
        <w:t xml:space="preserve"> 8 à 10 fois. Placer le tube PAXgene</w:t>
      </w:r>
      <w:r w:rsidR="00AA0094">
        <w:t>©</w:t>
      </w:r>
      <w:r>
        <w:t xml:space="preserve"> à la verticale et à t</w:t>
      </w:r>
      <w:r w:rsidR="00AA0094">
        <w:t xml:space="preserve">empérature ambiante </w:t>
      </w:r>
      <w:r>
        <w:t>pendant un minimum de 2 heures av</w:t>
      </w:r>
      <w:r w:rsidR="00035053">
        <w:t>ant son transport</w:t>
      </w:r>
      <w:r w:rsidR="00E42C61">
        <w:t xml:space="preserve"> vers le laboratoire.</w:t>
      </w:r>
    </w:p>
    <w:p w:rsidR="0075628D" w:rsidRPr="0036722A" w:rsidRDefault="0075628D" w:rsidP="0065713E">
      <w:pPr>
        <w:spacing w:after="0" w:line="240" w:lineRule="auto"/>
        <w:ind w:left="-284"/>
        <w:jc w:val="both"/>
        <w:rPr>
          <w:sz w:val="16"/>
          <w:szCs w:val="16"/>
        </w:rPr>
      </w:pPr>
    </w:p>
    <w:p w:rsidR="0036722A" w:rsidRDefault="0075628D" w:rsidP="00814E24">
      <w:pPr>
        <w:spacing w:after="0" w:line="240" w:lineRule="auto"/>
        <w:ind w:left="-284"/>
        <w:jc w:val="both"/>
      </w:pPr>
      <w:r>
        <w:rPr>
          <w:b/>
          <w:color w:val="3333CC"/>
        </w:rPr>
        <w:t>CONDITIONS DE TRANSPORT</w:t>
      </w:r>
      <w:r w:rsidRPr="00455E73">
        <w:rPr>
          <w:b/>
          <w:color w:val="3333CC"/>
        </w:rPr>
        <w:t> </w:t>
      </w:r>
      <w:r>
        <w:t xml:space="preserve">: </w:t>
      </w:r>
    </w:p>
    <w:p w:rsidR="00814E24" w:rsidRDefault="00F04F43" w:rsidP="00814E24">
      <w:pPr>
        <w:spacing w:after="0" w:line="240" w:lineRule="auto"/>
        <w:ind w:left="-284"/>
        <w:jc w:val="both"/>
      </w:pPr>
      <w:r>
        <w:t>Adresser le prélèvement s</w:t>
      </w:r>
      <w:r w:rsidR="00814E24">
        <w:t>elon les conditions habituelles </w:t>
      </w:r>
      <w:r>
        <w:t>à l’adresse indiquée dans l’en tête, </w:t>
      </w:r>
    </w:p>
    <w:p w:rsidR="00035053" w:rsidRDefault="00035053" w:rsidP="00035053">
      <w:pPr>
        <w:spacing w:after="0" w:line="240" w:lineRule="auto"/>
        <w:ind w:left="-284"/>
        <w:jc w:val="both"/>
      </w:pPr>
      <w:r>
        <w:tab/>
        <w:t>* dans les 72 heures à température ambiante (18 à 25 °C)</w:t>
      </w:r>
    </w:p>
    <w:p w:rsidR="00F04F43" w:rsidRDefault="00035053" w:rsidP="0036722A">
      <w:pPr>
        <w:spacing w:after="0" w:line="240" w:lineRule="auto"/>
        <w:ind w:left="-284"/>
        <w:jc w:val="both"/>
      </w:pPr>
      <w:r>
        <w:tab/>
        <w:t>* au-delà de 3 jours et jusqu’à 5 jours après le prélèvement : envoi réfrigéré de 2 à 8 °C</w:t>
      </w:r>
    </w:p>
    <w:sectPr w:rsidR="00F04F43" w:rsidSect="003672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3" w:right="707" w:bottom="993" w:left="1417" w:header="708" w:footer="3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7ED" w:rsidRDefault="008577ED" w:rsidP="00BA68CC">
      <w:pPr>
        <w:spacing w:after="0" w:line="240" w:lineRule="auto"/>
      </w:pPr>
      <w:r>
        <w:separator/>
      </w:r>
    </w:p>
  </w:endnote>
  <w:endnote w:type="continuationSeparator" w:id="0">
    <w:p w:rsidR="008577ED" w:rsidRDefault="008577ED" w:rsidP="00BA6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22A" w:rsidRDefault="0036722A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6D4" w:rsidRPr="007106D4" w:rsidRDefault="00F04F43" w:rsidP="0036722A">
    <w:pPr>
      <w:pStyle w:val="Pieddepage"/>
      <w:tabs>
        <w:tab w:val="clear" w:pos="9072"/>
        <w:tab w:val="right" w:pos="9781"/>
      </w:tabs>
      <w:ind w:left="-284"/>
      <w:rPr>
        <w:rFonts w:ascii="Arial" w:hAnsi="Arial" w:cs="Arial"/>
        <w:sz w:val="18"/>
        <w:lang w:val="en-US"/>
      </w:rPr>
    </w:pPr>
    <w:r>
      <w:rPr>
        <w:rFonts w:ascii="Arial" w:hAnsi="Arial" w:cs="Arial"/>
        <w:bCs/>
        <w:sz w:val="16"/>
        <w:szCs w:val="20"/>
        <w:lang w:val="en-US"/>
      </w:rPr>
      <w:t>RD-GE-SECR-IT-003 v02</w:t>
    </w:r>
    <w:r w:rsidR="007106D4" w:rsidRPr="007106D4">
      <w:rPr>
        <w:rFonts w:ascii="Arial" w:hAnsi="Arial" w:cs="Arial"/>
        <w:bCs/>
        <w:sz w:val="16"/>
        <w:szCs w:val="20"/>
        <w:lang w:val="en-US"/>
      </w:rPr>
      <w:tab/>
    </w:r>
    <w:r w:rsidR="007106D4" w:rsidRPr="007106D4">
      <w:rPr>
        <w:rFonts w:ascii="Arial" w:hAnsi="Arial" w:cs="Arial"/>
        <w:bCs/>
        <w:sz w:val="16"/>
        <w:szCs w:val="20"/>
        <w:lang w:val="en-US"/>
      </w:rPr>
      <w:tab/>
      <w:t xml:space="preserve">Page </w:t>
    </w:r>
    <w:r w:rsidR="007106D4" w:rsidRPr="007106D4">
      <w:rPr>
        <w:rFonts w:ascii="Arial" w:hAnsi="Arial" w:cs="Arial"/>
        <w:bCs/>
        <w:sz w:val="16"/>
        <w:szCs w:val="20"/>
        <w:lang w:val="en-US"/>
      </w:rPr>
      <w:fldChar w:fldCharType="begin"/>
    </w:r>
    <w:r w:rsidR="007106D4" w:rsidRPr="007106D4">
      <w:rPr>
        <w:rFonts w:ascii="Arial" w:hAnsi="Arial" w:cs="Arial"/>
        <w:bCs/>
        <w:sz w:val="16"/>
        <w:szCs w:val="20"/>
        <w:lang w:val="en-US"/>
      </w:rPr>
      <w:instrText xml:space="preserve"> PAGE   \* MERGEFORMAT </w:instrText>
    </w:r>
    <w:r w:rsidR="007106D4" w:rsidRPr="007106D4">
      <w:rPr>
        <w:rFonts w:ascii="Arial" w:hAnsi="Arial" w:cs="Arial"/>
        <w:bCs/>
        <w:sz w:val="16"/>
        <w:szCs w:val="20"/>
        <w:lang w:val="en-US"/>
      </w:rPr>
      <w:fldChar w:fldCharType="separate"/>
    </w:r>
    <w:r w:rsidR="00575845">
      <w:rPr>
        <w:rFonts w:ascii="Arial" w:hAnsi="Arial" w:cs="Arial"/>
        <w:bCs/>
        <w:noProof/>
        <w:sz w:val="16"/>
        <w:szCs w:val="20"/>
        <w:lang w:val="en-US"/>
      </w:rPr>
      <w:t>1</w:t>
    </w:r>
    <w:r w:rsidR="007106D4" w:rsidRPr="007106D4">
      <w:rPr>
        <w:rFonts w:ascii="Arial" w:hAnsi="Arial" w:cs="Arial"/>
        <w:bCs/>
        <w:sz w:val="16"/>
        <w:szCs w:val="20"/>
        <w:lang w:val="en-US"/>
      </w:rPr>
      <w:fldChar w:fldCharType="end"/>
    </w:r>
    <w:r w:rsidR="007106D4" w:rsidRPr="007106D4">
      <w:rPr>
        <w:rFonts w:ascii="Arial" w:hAnsi="Arial" w:cs="Arial"/>
        <w:bCs/>
        <w:sz w:val="16"/>
        <w:szCs w:val="20"/>
        <w:lang w:val="en-US"/>
      </w:rPr>
      <w:t xml:space="preserve"> / </w:t>
    </w:r>
    <w:r w:rsidR="007106D4" w:rsidRPr="007106D4">
      <w:rPr>
        <w:rFonts w:ascii="Arial" w:hAnsi="Arial" w:cs="Arial"/>
        <w:bCs/>
        <w:sz w:val="16"/>
        <w:szCs w:val="20"/>
        <w:lang w:val="en-US"/>
      </w:rPr>
      <w:fldChar w:fldCharType="begin"/>
    </w:r>
    <w:r w:rsidR="007106D4" w:rsidRPr="007106D4">
      <w:rPr>
        <w:rFonts w:ascii="Arial" w:hAnsi="Arial" w:cs="Arial"/>
        <w:bCs/>
        <w:sz w:val="16"/>
        <w:szCs w:val="20"/>
        <w:lang w:val="en-US"/>
      </w:rPr>
      <w:instrText xml:space="preserve"> NUMPAGES   \* MERGEFORMAT </w:instrText>
    </w:r>
    <w:r w:rsidR="007106D4" w:rsidRPr="007106D4">
      <w:rPr>
        <w:rFonts w:ascii="Arial" w:hAnsi="Arial" w:cs="Arial"/>
        <w:bCs/>
        <w:sz w:val="16"/>
        <w:szCs w:val="20"/>
        <w:lang w:val="en-US"/>
      </w:rPr>
      <w:fldChar w:fldCharType="separate"/>
    </w:r>
    <w:r w:rsidR="00575845">
      <w:rPr>
        <w:rFonts w:ascii="Arial" w:hAnsi="Arial" w:cs="Arial"/>
        <w:bCs/>
        <w:noProof/>
        <w:sz w:val="16"/>
        <w:szCs w:val="20"/>
        <w:lang w:val="en-US"/>
      </w:rPr>
      <w:t>1</w:t>
    </w:r>
    <w:r w:rsidR="007106D4" w:rsidRPr="007106D4">
      <w:rPr>
        <w:rFonts w:ascii="Arial" w:hAnsi="Arial" w:cs="Arial"/>
        <w:bCs/>
        <w:sz w:val="16"/>
        <w:szCs w:val="20"/>
        <w:lang w:val="en-US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22A" w:rsidRDefault="0036722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7ED" w:rsidRDefault="008577ED" w:rsidP="00BA68CC">
      <w:pPr>
        <w:spacing w:after="0" w:line="240" w:lineRule="auto"/>
      </w:pPr>
      <w:r>
        <w:separator/>
      </w:r>
    </w:p>
  </w:footnote>
  <w:footnote w:type="continuationSeparator" w:id="0">
    <w:p w:rsidR="008577ED" w:rsidRDefault="008577ED" w:rsidP="00BA68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22A" w:rsidRDefault="0036722A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8CC" w:rsidRDefault="00BA68CC">
    <w:pPr>
      <w:pStyle w:val="En-tte"/>
    </w:pPr>
  </w:p>
  <w:tbl>
    <w:tblPr>
      <w:tblW w:w="1056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2142"/>
      <w:gridCol w:w="8422"/>
    </w:tblGrid>
    <w:tr w:rsidR="00BA68CC" w:rsidRPr="0036722A" w:rsidTr="004030E0">
      <w:trPr>
        <w:trHeight w:val="1115"/>
        <w:jc w:val="center"/>
      </w:trPr>
      <w:tc>
        <w:tcPr>
          <w:tcW w:w="2142" w:type="dxa"/>
          <w:tcBorders>
            <w:right w:val="nil"/>
          </w:tcBorders>
          <w:shd w:val="clear" w:color="auto" w:fill="auto"/>
        </w:tcPr>
        <w:p w:rsidR="00BA68CC" w:rsidRPr="00BA68CC" w:rsidRDefault="00BA68CC" w:rsidP="00BA68CC">
          <w:pPr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16"/>
              <w:lang w:eastAsia="fr-FR"/>
            </w:rPr>
          </w:pPr>
        </w:p>
        <w:p w:rsidR="00BA68CC" w:rsidRPr="00BA68CC" w:rsidRDefault="00BA68CC" w:rsidP="00BA68CC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eastAsia="fr-FR"/>
            </w:rPr>
          </w:pPr>
          <w:r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fr-FR"/>
            </w:rPr>
            <w:drawing>
              <wp:inline distT="0" distB="0" distL="0" distR="0" wp14:anchorId="421D8C51" wp14:editId="029CD705">
                <wp:extent cx="495300" cy="647700"/>
                <wp:effectExtent l="0" t="0" r="0" b="0"/>
                <wp:docPr id="18" name="Image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22" w:type="dxa"/>
          <w:tcBorders>
            <w:left w:val="nil"/>
          </w:tcBorders>
          <w:shd w:val="clear" w:color="auto" w:fill="auto"/>
        </w:tcPr>
        <w:p w:rsidR="00BA68CC" w:rsidRPr="00BA68CC" w:rsidRDefault="00BA68CC" w:rsidP="00BA68CC">
          <w:pPr>
            <w:spacing w:after="0" w:line="240" w:lineRule="auto"/>
            <w:jc w:val="center"/>
            <w:rPr>
              <w:rFonts w:ascii="Arial" w:eastAsia="Arial Unicode MS" w:hAnsi="Arial" w:cs="Arial"/>
              <w:b/>
              <w:smallCaps/>
              <w:sz w:val="16"/>
              <w:szCs w:val="16"/>
              <w:lang w:eastAsia="fr-FR"/>
            </w:rPr>
          </w:pPr>
        </w:p>
        <w:p w:rsidR="00BA68CC" w:rsidRPr="00BA68CC" w:rsidRDefault="00BA68CC" w:rsidP="00BA68CC">
          <w:pPr>
            <w:spacing w:after="0" w:line="240" w:lineRule="auto"/>
            <w:jc w:val="center"/>
            <w:rPr>
              <w:rFonts w:ascii="Arial" w:eastAsia="Arial Unicode MS" w:hAnsi="Arial" w:cs="Arial"/>
              <w:b/>
              <w:smallCaps/>
              <w:sz w:val="16"/>
              <w:szCs w:val="16"/>
              <w:lang w:eastAsia="fr-FR"/>
            </w:rPr>
          </w:pPr>
          <w:r w:rsidRPr="00BA68CC">
            <w:rPr>
              <w:rFonts w:ascii="Arial" w:eastAsia="Arial Unicode MS" w:hAnsi="Arial" w:cs="Arial"/>
              <w:b/>
              <w:smallCaps/>
              <w:lang w:eastAsia="fr-FR"/>
            </w:rPr>
            <w:t xml:space="preserve">Hôpital Robert Debré - </w:t>
          </w:r>
          <w:r w:rsidRPr="00BA68CC">
            <w:rPr>
              <w:rFonts w:ascii="Arial" w:eastAsia="Arial Unicode MS" w:hAnsi="Arial" w:cs="Arial"/>
              <w:b/>
              <w:sz w:val="20"/>
              <w:szCs w:val="20"/>
              <w:lang w:eastAsia="fr-FR"/>
            </w:rPr>
            <w:t>UF de Génétique Moléculaire (</w:t>
          </w:r>
          <w:r w:rsidRPr="00BA68CC">
            <w:rPr>
              <w:rFonts w:ascii="Arial" w:eastAsia="Arial Unicode MS" w:hAnsi="Arial" w:cs="Arial"/>
              <w:b/>
              <w:sz w:val="16"/>
              <w:szCs w:val="16"/>
              <w:lang w:eastAsia="fr-FR"/>
            </w:rPr>
            <w:t>Pr Hélène Cavé)</w:t>
          </w:r>
        </w:p>
        <w:p w:rsidR="00BA68CC" w:rsidRPr="00BA68CC" w:rsidRDefault="00BA68CC" w:rsidP="00BA68CC">
          <w:pPr>
            <w:spacing w:after="0" w:line="240" w:lineRule="auto"/>
            <w:jc w:val="center"/>
            <w:rPr>
              <w:rFonts w:ascii="Arial" w:eastAsia="Arial Unicode MS" w:hAnsi="Arial" w:cs="Arial"/>
              <w:sz w:val="18"/>
              <w:szCs w:val="18"/>
              <w:lang w:eastAsia="fr-FR"/>
            </w:rPr>
          </w:pPr>
          <w:r w:rsidRPr="00BA68CC">
            <w:rPr>
              <w:rFonts w:ascii="Arial" w:eastAsia="Arial Unicode MS" w:hAnsi="Arial" w:cs="Arial"/>
              <w:sz w:val="18"/>
              <w:szCs w:val="18"/>
              <w:lang w:eastAsia="fr-FR"/>
            </w:rPr>
            <w:t>Bâtiment Bingen +2</w:t>
          </w:r>
        </w:p>
        <w:p w:rsidR="00BA68CC" w:rsidRPr="00BA68CC" w:rsidRDefault="00BA68CC" w:rsidP="00BA68CC">
          <w:pPr>
            <w:spacing w:after="0" w:line="240" w:lineRule="auto"/>
            <w:jc w:val="center"/>
            <w:rPr>
              <w:rFonts w:ascii="Arial" w:eastAsia="Arial Unicode MS" w:hAnsi="Arial" w:cs="Arial"/>
              <w:sz w:val="18"/>
              <w:szCs w:val="18"/>
              <w:lang w:eastAsia="fr-FR"/>
            </w:rPr>
          </w:pPr>
          <w:r w:rsidRPr="00BA68CC">
            <w:rPr>
              <w:rFonts w:ascii="Arial" w:eastAsia="Arial Unicode MS" w:hAnsi="Arial" w:cs="Arial"/>
              <w:sz w:val="18"/>
              <w:szCs w:val="18"/>
              <w:lang w:eastAsia="fr-FR"/>
            </w:rPr>
            <w:t>48, boulevard Sérurier</w:t>
          </w:r>
        </w:p>
        <w:p w:rsidR="00BA68CC" w:rsidRPr="00BA68CC" w:rsidRDefault="00BA68CC" w:rsidP="00BA68CC">
          <w:pPr>
            <w:spacing w:after="0" w:line="240" w:lineRule="auto"/>
            <w:jc w:val="center"/>
            <w:rPr>
              <w:rFonts w:ascii="Arial" w:eastAsia="Arial Unicode MS" w:hAnsi="Arial" w:cs="Arial"/>
              <w:sz w:val="18"/>
              <w:szCs w:val="18"/>
              <w:lang w:eastAsia="fr-FR"/>
            </w:rPr>
          </w:pPr>
          <w:r w:rsidRPr="00BA68CC">
            <w:rPr>
              <w:rFonts w:ascii="Arial" w:eastAsia="Arial Unicode MS" w:hAnsi="Arial" w:cs="Arial"/>
              <w:sz w:val="18"/>
              <w:szCs w:val="18"/>
              <w:lang w:eastAsia="fr-FR"/>
            </w:rPr>
            <w:t>75935 Paris cedex 19</w:t>
          </w:r>
        </w:p>
        <w:p w:rsidR="00BA68CC" w:rsidRPr="00BA68CC" w:rsidRDefault="00BA68CC" w:rsidP="00BA68CC">
          <w:pPr>
            <w:spacing w:after="0" w:line="240" w:lineRule="auto"/>
            <w:jc w:val="center"/>
            <w:rPr>
              <w:rFonts w:ascii="Arial" w:eastAsia="Arial Unicode MS" w:hAnsi="Arial" w:cs="Arial"/>
              <w:sz w:val="16"/>
              <w:szCs w:val="16"/>
              <w:lang w:val="en-US" w:eastAsia="fr-FR"/>
            </w:rPr>
          </w:pPr>
          <w:r w:rsidRPr="00BA68CC">
            <w:rPr>
              <w:rFonts w:ascii="Arial" w:eastAsia="Arial Unicode MS" w:hAnsi="Arial" w:cs="Arial"/>
              <w:sz w:val="16"/>
              <w:szCs w:val="16"/>
              <w:lang w:val="en-US" w:eastAsia="fr-FR"/>
            </w:rPr>
            <w:t xml:space="preserve">tel : 01 40 03 57 11 -  fax : 01 40 03 22 77 -  </w:t>
          </w:r>
          <w:r w:rsidRPr="00BA68CC">
            <w:rPr>
              <w:rFonts w:ascii="Arial" w:eastAsia="Arial Unicode MS" w:hAnsi="Arial" w:cs="Arial"/>
              <w:color w:val="0000FF"/>
              <w:sz w:val="16"/>
              <w:szCs w:val="16"/>
              <w:u w:val="single"/>
              <w:lang w:val="en-US" w:eastAsia="fr-FR"/>
            </w:rPr>
            <w:t>secretariat.genetique-moleculaire</w:t>
          </w:r>
          <w:r w:rsidR="00957FC1">
            <w:rPr>
              <w:rFonts w:ascii="Arial" w:eastAsia="Arial Unicode MS" w:hAnsi="Arial" w:cs="Arial"/>
              <w:color w:val="0000FF"/>
              <w:sz w:val="16"/>
              <w:szCs w:val="16"/>
              <w:u w:val="single"/>
              <w:lang w:val="en-US" w:eastAsia="fr-FR"/>
            </w:rPr>
            <w:t>.rdb@a</w:t>
          </w:r>
          <w:r w:rsidRPr="00BA68CC">
            <w:rPr>
              <w:rFonts w:ascii="Arial" w:eastAsia="Arial Unicode MS" w:hAnsi="Arial" w:cs="Arial"/>
              <w:color w:val="0000FF"/>
              <w:sz w:val="16"/>
              <w:szCs w:val="16"/>
              <w:u w:val="single"/>
              <w:lang w:val="en-US" w:eastAsia="fr-FR"/>
            </w:rPr>
            <w:t>php.fr</w:t>
          </w:r>
        </w:p>
      </w:tc>
    </w:tr>
    <w:tr w:rsidR="00BA68CC" w:rsidRPr="00BA68CC" w:rsidTr="004030E0">
      <w:trPr>
        <w:trHeight w:val="568"/>
        <w:jc w:val="center"/>
      </w:trPr>
      <w:tc>
        <w:tcPr>
          <w:tcW w:w="10564" w:type="dxa"/>
          <w:gridSpan w:val="2"/>
          <w:shd w:val="clear" w:color="auto" w:fill="auto"/>
        </w:tcPr>
        <w:p w:rsidR="00BA68CC" w:rsidRPr="00BA68CC" w:rsidRDefault="00BA68CC" w:rsidP="00BA68CC">
          <w:pPr>
            <w:spacing w:before="120" w:after="120" w:line="240" w:lineRule="auto"/>
            <w:jc w:val="center"/>
            <w:rPr>
              <w:rFonts w:ascii="Arial" w:eastAsia="Arial Unicode MS" w:hAnsi="Arial" w:cs="Arial"/>
              <w:b/>
              <w:smallCaps/>
              <w:sz w:val="28"/>
              <w:szCs w:val="28"/>
              <w:lang w:eastAsia="fr-FR"/>
            </w:rPr>
          </w:pPr>
          <w:r>
            <w:rPr>
              <w:rFonts w:ascii="Arial" w:eastAsia="Arial Unicode MS" w:hAnsi="Arial" w:cs="Arial"/>
              <w:b/>
              <w:smallCaps/>
              <w:sz w:val="28"/>
              <w:szCs w:val="28"/>
              <w:lang w:eastAsia="fr-FR"/>
            </w:rPr>
            <w:t>Modalité prélevement – Tube PAXgen</w:t>
          </w:r>
          <w:r w:rsidR="0075628D">
            <w:rPr>
              <w:rFonts w:ascii="Arial" w:eastAsia="Arial Unicode MS" w:hAnsi="Arial" w:cs="Arial"/>
              <w:b/>
              <w:smallCaps/>
              <w:sz w:val="28"/>
              <w:szCs w:val="28"/>
              <w:lang w:eastAsia="fr-FR"/>
            </w:rPr>
            <w:t>e</w:t>
          </w:r>
          <w:r w:rsidR="00957FC1">
            <w:rPr>
              <w:rFonts w:ascii="Arial" w:eastAsia="Arial Unicode MS" w:hAnsi="Arial" w:cs="Arial"/>
              <w:b/>
              <w:smallCaps/>
              <w:sz w:val="28"/>
              <w:szCs w:val="28"/>
              <w:lang w:eastAsia="fr-FR"/>
            </w:rPr>
            <w:t xml:space="preserve"> RNA</w:t>
          </w:r>
        </w:p>
      </w:tc>
    </w:tr>
  </w:tbl>
  <w:p w:rsidR="00BA68CC" w:rsidRPr="0036722A" w:rsidRDefault="00BA68CC">
    <w:pPr>
      <w:pStyle w:val="En-tte"/>
      <w:rPr>
        <w:sz w:val="10"/>
        <w:szCs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22A" w:rsidRDefault="0036722A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8CC"/>
    <w:rsid w:val="00035053"/>
    <w:rsid w:val="000B1C74"/>
    <w:rsid w:val="000F56E2"/>
    <w:rsid w:val="00137D9A"/>
    <w:rsid w:val="00207E8D"/>
    <w:rsid w:val="0036722A"/>
    <w:rsid w:val="00455E73"/>
    <w:rsid w:val="00575845"/>
    <w:rsid w:val="006259E9"/>
    <w:rsid w:val="0065713E"/>
    <w:rsid w:val="007106D4"/>
    <w:rsid w:val="0075628D"/>
    <w:rsid w:val="00814E24"/>
    <w:rsid w:val="008577ED"/>
    <w:rsid w:val="008577F4"/>
    <w:rsid w:val="00863459"/>
    <w:rsid w:val="00957FC1"/>
    <w:rsid w:val="00AA0094"/>
    <w:rsid w:val="00B83993"/>
    <w:rsid w:val="00BA68CC"/>
    <w:rsid w:val="00E37120"/>
    <w:rsid w:val="00E42C61"/>
    <w:rsid w:val="00EF33E2"/>
    <w:rsid w:val="00F04F43"/>
    <w:rsid w:val="00FF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A6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A68C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BA68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A68CC"/>
  </w:style>
  <w:style w:type="paragraph" w:styleId="Pieddepage">
    <w:name w:val="footer"/>
    <w:basedOn w:val="Normal"/>
    <w:link w:val="PieddepageCar"/>
    <w:uiPriority w:val="99"/>
    <w:unhideWhenUsed/>
    <w:rsid w:val="00BA68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A68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A6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A68C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BA68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A68CC"/>
  </w:style>
  <w:style w:type="paragraph" w:styleId="Pieddepage">
    <w:name w:val="footer"/>
    <w:basedOn w:val="Normal"/>
    <w:link w:val="PieddepageCar"/>
    <w:uiPriority w:val="99"/>
    <w:unhideWhenUsed/>
    <w:rsid w:val="00BA68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A68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419</Words>
  <Characters>2306</Characters>
  <Application>Microsoft Office Word</Application>
  <DocSecurity>4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APHP</Company>
  <LinksUpToDate>false</LinksUpToDate>
  <CharactersWithSpaces>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APHP</dc:creator>
  <cp:lastModifiedBy>APHP</cp:lastModifiedBy>
  <cp:revision>2</cp:revision>
  <dcterms:created xsi:type="dcterms:W3CDTF">2022-09-01T13:09:00Z</dcterms:created>
  <dcterms:modified xsi:type="dcterms:W3CDTF">2022-09-01T13:09:00Z</dcterms:modified>
</cp:coreProperties>
</file>